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7650" w:tblpY="1372"/>
        <w:tblOverlap w:val="never"/>
        <w:tblW w:w="3321" w:type="dxa"/>
        <w:tblCellMar>
          <w:left w:w="17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3321"/>
      </w:tblGrid>
      <w:tr w:rsidR="00995D70" w:rsidRPr="00995D70" w14:paraId="5C790F19" w14:textId="77777777" w:rsidTr="00995D70">
        <w:trPr>
          <w:trHeight w:val="644"/>
        </w:trPr>
        <w:tc>
          <w:tcPr>
            <w:tcW w:w="3321" w:type="dxa"/>
            <w:vMerge w:val="restart"/>
            <w:tcBorders>
              <w:top w:val="single" w:sz="4" w:space="0" w:color="737473"/>
              <w:left w:val="single" w:sz="4" w:space="0" w:color="737473"/>
              <w:bottom w:val="single" w:sz="4" w:space="0" w:color="737473"/>
              <w:right w:val="single" w:sz="4" w:space="0" w:color="737473"/>
            </w:tcBorders>
            <w:vAlign w:val="bottom"/>
          </w:tcPr>
          <w:p w14:paraId="4EF9B3F1" w14:textId="77777777" w:rsidR="00995D70" w:rsidRPr="00995D70" w:rsidRDefault="00995D70" w:rsidP="00995D70">
            <w:r w:rsidRPr="00995D70">
              <w:t>pieczątka aptek</w:t>
            </w:r>
          </w:p>
        </w:tc>
      </w:tr>
      <w:tr w:rsidR="00995D70" w:rsidRPr="00995D70" w14:paraId="14965B03" w14:textId="77777777" w:rsidTr="00995D70">
        <w:trPr>
          <w:trHeight w:val="639"/>
        </w:trPr>
        <w:tc>
          <w:tcPr>
            <w:tcW w:w="0" w:type="auto"/>
            <w:vMerge/>
            <w:tcBorders>
              <w:top w:val="nil"/>
              <w:left w:val="single" w:sz="4" w:space="0" w:color="737473"/>
              <w:bottom w:val="nil"/>
              <w:right w:val="single" w:sz="4" w:space="0" w:color="737473"/>
            </w:tcBorders>
          </w:tcPr>
          <w:p w14:paraId="2B451729" w14:textId="77777777" w:rsidR="00995D70" w:rsidRPr="00995D70" w:rsidRDefault="00995D70" w:rsidP="00995D70"/>
        </w:tc>
      </w:tr>
    </w:tbl>
    <w:p w14:paraId="7E9C03A1" w14:textId="01409832" w:rsidR="002C336C" w:rsidRDefault="00995D70" w:rsidP="008E02B3">
      <w:bookmarkStart w:id="0" w:name="_Hlk69712600"/>
      <w:r w:rsidRPr="00995D70">
        <w:rPr>
          <w:noProof/>
        </w:rPr>
        <w:drawing>
          <wp:inline distT="0" distB="0" distL="0" distR="0" wp14:anchorId="7ED24AC3" wp14:editId="277DB520">
            <wp:extent cx="1864995" cy="547370"/>
            <wp:effectExtent l="0" t="0" r="1905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A909137" w14:textId="77777777" w:rsidR="00995D70" w:rsidRPr="00995D70" w:rsidRDefault="00995D70" w:rsidP="00995D70"/>
    <w:p w14:paraId="38A87EC4" w14:textId="5AF139D5" w:rsidR="00995D70" w:rsidRDefault="00995D70" w:rsidP="008E02B3"/>
    <w:tbl>
      <w:tblPr>
        <w:tblpPr w:leftFromText="141" w:rightFromText="141" w:vertAnchor="text" w:horzAnchor="margin" w:tblpXSpec="center" w:tblpY="-1105"/>
        <w:tblW w:w="1076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61"/>
      </w:tblGrid>
      <w:tr w:rsidR="00995D70" w:rsidRPr="00995D70" w14:paraId="2978B125" w14:textId="77777777" w:rsidTr="00C33FE1">
        <w:trPr>
          <w:trHeight w:val="182"/>
        </w:trPr>
        <w:tc>
          <w:tcPr>
            <w:tcW w:w="10761" w:type="dxa"/>
          </w:tcPr>
          <w:p w14:paraId="254D81C9" w14:textId="77777777" w:rsidR="00995D70" w:rsidRPr="00995D70" w:rsidRDefault="00995D70" w:rsidP="00C33FE1">
            <w:pPr>
              <w:rPr>
                <w:b/>
                <w:bCs/>
                <w:sz w:val="36"/>
                <w:szCs w:val="36"/>
              </w:rPr>
            </w:pPr>
            <w:r w:rsidRPr="00995D70">
              <w:rPr>
                <w:b/>
                <w:bCs/>
                <w:sz w:val="36"/>
                <w:szCs w:val="36"/>
              </w:rPr>
              <w:t>KONTROLA WEWNĘTRZNA APTEKI</w:t>
            </w:r>
          </w:p>
        </w:tc>
      </w:tr>
    </w:tbl>
    <w:p w14:paraId="734482AF" w14:textId="77777777" w:rsidR="00995D70" w:rsidRDefault="00995D70" w:rsidP="008E02B3"/>
    <w:p w14:paraId="22936A81" w14:textId="77777777" w:rsidR="00995D70" w:rsidRDefault="00995D70" w:rsidP="008E02B3"/>
    <w:p w14:paraId="5A8FC6E6" w14:textId="33140869" w:rsidR="00995D70" w:rsidRDefault="00995D70" w:rsidP="008E02B3">
      <w:r>
        <w:t xml:space="preserve">Art. 88 ust.5 pkt.12 ustawy PF – </w:t>
      </w:r>
      <w:r w:rsidRPr="00995D70">
        <w:rPr>
          <w:i/>
          <w:iCs/>
        </w:rPr>
        <w:t>Do zadań kierownika apteki należy:</w:t>
      </w:r>
    </w:p>
    <w:p w14:paraId="34AD6BD5" w14:textId="40B1961F" w:rsidR="00995D70" w:rsidRPr="00995D70" w:rsidRDefault="00995D70" w:rsidP="008E02B3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„</w:t>
      </w:r>
      <w:r w:rsidRPr="00995D70">
        <w:rPr>
          <w:i/>
          <w:iCs/>
          <w:sz w:val="23"/>
          <w:szCs w:val="23"/>
        </w:rPr>
        <w:t>zapewnienie w regularnych odstępach czasu, nie rzadziej niż raz na rok, przeprowadzania kontroli wewnętrznych według ustalonego programu i zapewnienie wprowadzania odpowiednich środków naprawczych i zapobiegawczych</w:t>
      </w:r>
      <w:r>
        <w:rPr>
          <w:i/>
          <w:iCs/>
          <w:sz w:val="23"/>
          <w:szCs w:val="23"/>
        </w:rPr>
        <w:t>”</w:t>
      </w:r>
    </w:p>
    <w:p w14:paraId="7CC2288B" w14:textId="77777777" w:rsidR="00995D70" w:rsidRDefault="00995D70" w:rsidP="00995D70"/>
    <w:p w14:paraId="1DD7E850" w14:textId="77777777" w:rsidR="00995D70" w:rsidRDefault="00995D70" w:rsidP="00995D70"/>
    <w:p w14:paraId="2D7934F5" w14:textId="13363E17" w:rsidR="00995D70" w:rsidRDefault="00995D70" w:rsidP="008E02B3">
      <w:r>
        <w:t xml:space="preserve">Wykaz najważniejszych elementów będących przedmiotem kontroli wewnętrznej: </w:t>
      </w:r>
    </w:p>
    <w:p w14:paraId="5980FF58" w14:textId="0E2B4816" w:rsidR="008E02B3" w:rsidRDefault="008E02B3" w:rsidP="00995D70">
      <w:pPr>
        <w:pStyle w:val="Akapitzlist"/>
        <w:numPr>
          <w:ilvl w:val="0"/>
          <w:numId w:val="1"/>
        </w:numPr>
      </w:pPr>
      <w:r>
        <w:t>zezwolenie na prowadzenie apteki</w:t>
      </w:r>
    </w:p>
    <w:p w14:paraId="44D0C888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NIP</w:t>
      </w:r>
    </w:p>
    <w:p w14:paraId="18A9E306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REGON</w:t>
      </w:r>
    </w:p>
    <w:p w14:paraId="487719F2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KRS lub CEIDG</w:t>
      </w:r>
    </w:p>
    <w:p w14:paraId="1C2B3EAB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umowa z NFZ wraz z aneksami</w:t>
      </w:r>
    </w:p>
    <w:p w14:paraId="420FF339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wpis do rejestru zakładów podlegających kontroli Sanepidu</w:t>
      </w:r>
    </w:p>
    <w:p w14:paraId="78F2A805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umowa na utylizację</w:t>
      </w:r>
    </w:p>
    <w:p w14:paraId="1024D19D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plan techniczny (projekt) apteki</w:t>
      </w:r>
    </w:p>
    <w:p w14:paraId="6F8A2902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obowiązujące aktualnie procedury</w:t>
      </w:r>
    </w:p>
    <w:p w14:paraId="22541BAD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zarchiwizowane protokoły kontroli wewnętrznej</w:t>
      </w:r>
    </w:p>
    <w:p w14:paraId="12B9CF71" w14:textId="69B35CF4" w:rsidR="00770AF9" w:rsidRDefault="008E02B3" w:rsidP="00995D70">
      <w:pPr>
        <w:pStyle w:val="Akapitzlist"/>
        <w:numPr>
          <w:ilvl w:val="0"/>
          <w:numId w:val="1"/>
        </w:numPr>
      </w:pPr>
      <w:r>
        <w:t>książka kontroli i dokumentacja wykonania zaleceń pokontrolnych</w:t>
      </w:r>
    </w:p>
    <w:p w14:paraId="5591ED52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aktualna Farmakopea</w:t>
      </w:r>
    </w:p>
    <w:p w14:paraId="5A4A35BC" w14:textId="77777777" w:rsidR="008E02B3" w:rsidRDefault="008E02B3" w:rsidP="00995D70">
      <w:pPr>
        <w:pStyle w:val="Akapitzlist"/>
        <w:numPr>
          <w:ilvl w:val="0"/>
          <w:numId w:val="1"/>
        </w:numPr>
      </w:pPr>
      <w:r>
        <w:t>Urzędowy Wykaz Leków Dopuszczonych do obrotu na terytorium RP</w:t>
      </w:r>
    </w:p>
    <w:p w14:paraId="2101ECCF" w14:textId="48B1F658" w:rsidR="008E02B3" w:rsidRDefault="008E02B3" w:rsidP="00995D70">
      <w:pPr>
        <w:pStyle w:val="Akapitzlist"/>
        <w:numPr>
          <w:ilvl w:val="0"/>
          <w:numId w:val="1"/>
        </w:numPr>
      </w:pPr>
      <w:r>
        <w:t>dostęp do stron internetowych GIF i WIF</w:t>
      </w:r>
    </w:p>
    <w:p w14:paraId="55ACF99D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książka ewidencji personelu fachowego jest prowadzona na bieżąco, zgodnie z obowiązującymi przepisami, jest ostemplowana przez WIF </w:t>
      </w:r>
    </w:p>
    <w:p w14:paraId="67F0E78E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w aptece znajdują się kopie dyplomów poświadczające uprawnienia zawodowe: dyplomy, PWZ </w:t>
      </w:r>
    </w:p>
    <w:p w14:paraId="1FF02587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dostępne są aktualne orzeczenia lekarskie zatrudnionych pracowników stwierdzające brak przeciwwskazań zdrowotnych do wykonywania pracy na zajmowanym stanowisku wraz ze skierowaniami (badania wstępne i okresowe) </w:t>
      </w:r>
    </w:p>
    <w:p w14:paraId="5ADC77F2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dostępne są potwierdzenia odbycia przeszkoleń wstępnych (instruktaż ogólny i stanowiskowy) oraz okresowych z zakresu bezpieczeństwa i higieny pracy oraz ochrony przeciwpożarowej osób przebywających na terenie apteki </w:t>
      </w:r>
    </w:p>
    <w:p w14:paraId="56F258D4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lastRenderedPageBreak/>
        <w:t xml:space="preserve">informacja o zmianach w zatrudnieniu magistrów farmacji jest przekazana do OIA i WIF </w:t>
      </w:r>
    </w:p>
    <w:p w14:paraId="2A4695A8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informacje o zatrudnionych pracownikach fachowych na portalu NFZ są aktualne </w:t>
      </w:r>
    </w:p>
    <w:p w14:paraId="70E8234C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schemat organizacyjny apteki jest aktualny </w:t>
      </w:r>
    </w:p>
    <w:p w14:paraId="149F0F93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każdy pracownik aptek otrzymał i zapoznał się z opisem swojego stanowiska </w:t>
      </w:r>
    </w:p>
    <w:p w14:paraId="352542B6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w aptece wdrożony jest pisemny podział obowiązków, podpisany przez pracowników </w:t>
      </w:r>
    </w:p>
    <w:p w14:paraId="717CFE74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zadania są pracownikom delegowane pisemnie a protokoły z delegowania zadań są archiwizowane </w:t>
      </w:r>
    </w:p>
    <w:p w14:paraId="633AAD23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rejestry ukończonych szkoleń przez pracowników apteki prowadzone są na bieżąco </w:t>
      </w:r>
    </w:p>
    <w:p w14:paraId="5D110170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jest wyznaczony farmaceuta z minimalnie dwuletnim stażem pracy, który odpowiada za nadzór nad obrotem, przechowywaniem, ewidencją środków odurzających, substancji psychotropowych i prekursorów kategorii 1 - zatwierdzone pisemnie, jeśli nie jest to kierownik apteki </w:t>
      </w:r>
    </w:p>
    <w:p w14:paraId="6E44602A" w14:textId="7E04CC0C" w:rsidR="008E02B3" w:rsidRDefault="008E02B3" w:rsidP="00995D70">
      <w:pPr>
        <w:pStyle w:val="Akapitzlist"/>
        <w:numPr>
          <w:ilvl w:val="0"/>
          <w:numId w:val="1"/>
        </w:numPr>
      </w:pPr>
      <w:r w:rsidRPr="008E02B3">
        <w:t>każdy pracownik posiada identyfikator ze swoim imieniem, nazwiskiem i zajmowanym w aptece stanowiskiem, który nosi umieszczony w widocznym miejscu</w:t>
      </w:r>
    </w:p>
    <w:p w14:paraId="1914E6AF" w14:textId="6CCAFB84" w:rsidR="008E02B3" w:rsidRDefault="008E02B3" w:rsidP="00995D70">
      <w:pPr>
        <w:pStyle w:val="Akapitzlist"/>
        <w:numPr>
          <w:ilvl w:val="0"/>
          <w:numId w:val="1"/>
        </w:numPr>
      </w:pPr>
      <w:r w:rsidRPr="008E02B3">
        <w:t>praktykanci/stażyści prowadzą na bieżąco zeszyt praktyk/stażu, który jest regularnie sprawdzany przez opiekuna stażu</w:t>
      </w:r>
    </w:p>
    <w:p w14:paraId="4EF6C9AF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jest wyznaczona strefa dezynfekcji dla pacjentów </w:t>
      </w:r>
    </w:p>
    <w:p w14:paraId="421FEF23" w14:textId="10FFF923" w:rsidR="008E02B3" w:rsidRDefault="008E02B3" w:rsidP="00995D70">
      <w:pPr>
        <w:pStyle w:val="Akapitzlist"/>
        <w:numPr>
          <w:ilvl w:val="0"/>
          <w:numId w:val="1"/>
        </w:numPr>
      </w:pPr>
      <w:r w:rsidRPr="008E02B3">
        <w:t>w sali ekspedycyjnej, w miejscach widocznych dla pacjentów, są aktualne tablice informacyjne</w:t>
      </w:r>
    </w:p>
    <w:p w14:paraId="7257149A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w sali ekspedycyjnej nie ma zbędnych elementów, np. zniszczonych standów, niewykorzystanych szafek, nieaktualnych materiałów informacyjnych, kwiatów </w:t>
      </w:r>
    </w:p>
    <w:p w14:paraId="11BE4EDC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produkty widoczne dla pacjentów są opatrzone aktualnymi i estetycznymi informacjami o cenie </w:t>
      </w:r>
    </w:p>
    <w:p w14:paraId="4CE40B96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pomieszczenia apteki są użytkowane zgodnie z planem apteki </w:t>
      </w:r>
    </w:p>
    <w:p w14:paraId="639D6623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każde pomieszczenie jest oznaczone właściwą nazwą zgodnie z planem apteki </w:t>
      </w:r>
    </w:p>
    <w:p w14:paraId="28643517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zaplecze zabezpieczone jest przed dostępem osób nieuprawnionych (zarówno od frontu, jak i od tyłu) </w:t>
      </w:r>
    </w:p>
    <w:p w14:paraId="27558E2C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szafy w szatni mają wydzielone miejsca na odzież ochronną i osobno na odzież wierzchnią </w:t>
      </w:r>
    </w:p>
    <w:p w14:paraId="183BE728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apteka zabezpieczona jest sprawnym systemem alarmowym </w:t>
      </w:r>
    </w:p>
    <w:p w14:paraId="4D1FB3B6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w aptece są właściwie oznaczone wyjścia ewakuacyjne </w:t>
      </w:r>
    </w:p>
    <w:p w14:paraId="543E2036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w aptece są gaśnice z aktualną legalizacją </w:t>
      </w:r>
    </w:p>
    <w:p w14:paraId="6E66A250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w aptece są wykonywane przeglądy kominiarskie (jeśli dotyczy) </w:t>
      </w:r>
    </w:p>
    <w:p w14:paraId="726DCA13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 xml:space="preserve">wszystkie pomieszczenia apteki i ciągi komunikacyjne są czyste i uporządkowane </w:t>
      </w:r>
    </w:p>
    <w:p w14:paraId="78EE3435" w14:textId="77777777" w:rsidR="008E02B3" w:rsidRPr="008E02B3" w:rsidRDefault="008E02B3" w:rsidP="00995D70">
      <w:pPr>
        <w:pStyle w:val="Akapitzlist"/>
        <w:numPr>
          <w:ilvl w:val="0"/>
          <w:numId w:val="1"/>
        </w:numPr>
      </w:pPr>
      <w:r w:rsidRPr="008E02B3">
        <w:t>w aptece jest prowadzona cykliczna dezynfekcja według powszechnie znanej i umieszczonej w widocznym miejscu instrukcji</w:t>
      </w:r>
    </w:p>
    <w:p w14:paraId="13FBAB3F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w aptece jest wdrożona procedura przechowywania </w:t>
      </w:r>
    </w:p>
    <w:p w14:paraId="38E54C0E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asortyment apteczny przechowywany jest we właściwej temperaturze i wilgotności powietrza zgodnie z informacjami zawartymi w ChPL i/lub Farmakopei </w:t>
      </w:r>
    </w:p>
    <w:p w14:paraId="4FA38974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temperatura i wilgotność powietrza w pomieszczeniach apteki są mierzone codziennie termometrami z higrometrami (ze znakiem CE, ze świadectwem wzorcowania) a wyniki pomiarów uzupełniane są w stosownej ewidencji </w:t>
      </w:r>
    </w:p>
    <w:p w14:paraId="4FDD1536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produkty termolabilne są przechowywane w lodówkach, dla których jest prowadzona codzienna ewidencja pomiaru temperatury, z uwzględnieniem odpowiedniego dla danego produktu zakresu </w:t>
      </w:r>
    </w:p>
    <w:p w14:paraId="6F838BEF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asortyment apteczny jest chroniony przed nadmiernym nasłonecznieniem </w:t>
      </w:r>
    </w:p>
    <w:p w14:paraId="249C4F6E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produkty lecznicze przechowywane poza zasięgiem dzieci (dotyczy strefy samoobsługowej) </w:t>
      </w:r>
    </w:p>
    <w:p w14:paraId="1B9FEF54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asortyment apteki nie jest przechowywany w ciągach komunikacyjnych </w:t>
      </w:r>
    </w:p>
    <w:p w14:paraId="61AD1E1D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lastRenderedPageBreak/>
        <w:t xml:space="preserve">w komorze przyjęć (i jeśli to konieczne - w magazynach) są łatwo zmywalne podesty </w:t>
      </w:r>
    </w:p>
    <w:p w14:paraId="49692C01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produkty lecznicze, suplementy diety, wyroby medyczne i środki spożywcze specjalnego przeznaczenia żywieniowego są od siebie rozdzielone (dotyczy to każdego miejsca przechowywania: półki na sali ekspedycyjnej, szuflady, magazyny, lodówki) </w:t>
      </w:r>
    </w:p>
    <w:p w14:paraId="62CA0AA9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produkty lecznicze są rozdzielone ze względu na drogę podania (tj. oddzielone od siebie są leki wewnętrzne, zewnętrzne, iniekcje, maści, czopki, tabletki, itd.) </w:t>
      </w:r>
    </w:p>
    <w:p w14:paraId="7C07EF99" w14:textId="77777777" w:rsidR="002C336C" w:rsidRPr="002C336C" w:rsidRDefault="002C336C" w:rsidP="00995D70">
      <w:pPr>
        <w:pStyle w:val="Akapitzlist"/>
        <w:numPr>
          <w:ilvl w:val="0"/>
          <w:numId w:val="1"/>
        </w:numPr>
      </w:pPr>
      <w:r w:rsidRPr="002C336C">
        <w:t xml:space="preserve">leki psychotropowe są przechowywane w zamykanej szafie lub szufladzie </w:t>
      </w:r>
    </w:p>
    <w:p w14:paraId="47057EF1" w14:textId="5817B825" w:rsidR="008E02B3" w:rsidRDefault="002C336C" w:rsidP="00995D70">
      <w:pPr>
        <w:pStyle w:val="Akapitzlist"/>
        <w:numPr>
          <w:ilvl w:val="0"/>
          <w:numId w:val="1"/>
        </w:numPr>
      </w:pPr>
      <w:r w:rsidRPr="002C336C">
        <w:t>leki z wykazu A są osobno przechowywane (w tym wydzielona półka lub miejsce w lodówce</w:t>
      </w:r>
    </w:p>
    <w:p w14:paraId="210057CF" w14:textId="7FBD3AF3" w:rsidR="00591C64" w:rsidRDefault="00591C64" w:rsidP="00591C64"/>
    <w:p w14:paraId="198B8B18" w14:textId="1963D34A" w:rsidR="00591C64" w:rsidRDefault="00591C64" w:rsidP="00591C64"/>
    <w:p w14:paraId="25AD80DF" w14:textId="0C35AD54" w:rsidR="00591C64" w:rsidRDefault="00591C64" w:rsidP="00591C64"/>
    <w:p w14:paraId="0247197B" w14:textId="32F3A38C" w:rsidR="00591C64" w:rsidRDefault="00591C64" w:rsidP="00591C64">
      <w:r>
        <w:t>Z przeprowadzonej kontroli wewnętrznej kierownik apteki sporządza protokół informujący o dacie wykonania audytu oraz gotowości apteki do pracy zgodnie z wymogami prawa.</w:t>
      </w:r>
    </w:p>
    <w:sectPr w:rsidR="0059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C2FC1"/>
    <w:multiLevelType w:val="hybridMultilevel"/>
    <w:tmpl w:val="685C0F80"/>
    <w:lvl w:ilvl="0" w:tplc="71E4CF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B3"/>
    <w:rsid w:val="002C336C"/>
    <w:rsid w:val="00591C64"/>
    <w:rsid w:val="00770AF9"/>
    <w:rsid w:val="008E02B3"/>
    <w:rsid w:val="009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73FB"/>
  <w15:chartTrackingRefBased/>
  <w15:docId w15:val="{57464771-C1EA-4A68-8BD0-35C03CED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Gocał</dc:creator>
  <cp:keywords/>
  <dc:description/>
  <cp:lastModifiedBy>Robert Gocał</cp:lastModifiedBy>
  <cp:revision>4</cp:revision>
  <dcterms:created xsi:type="dcterms:W3CDTF">2021-04-19T08:28:00Z</dcterms:created>
  <dcterms:modified xsi:type="dcterms:W3CDTF">2021-04-30T10:30:00Z</dcterms:modified>
</cp:coreProperties>
</file>